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3E" w:rsidRPr="00C0143E" w:rsidRDefault="00C0143E" w:rsidP="00C0143E">
      <w:pPr>
        <w:pStyle w:val="Apakvirsraksti"/>
        <w:numPr>
          <w:ilvl w:val="0"/>
          <w:numId w:val="0"/>
        </w:numPr>
        <w:ind w:left="567"/>
        <w:rPr>
          <w:sz w:val="28"/>
          <w:szCs w:val="28"/>
        </w:rPr>
      </w:pPr>
      <w:bookmarkStart w:id="0" w:name="_Toc135021580"/>
      <w:bookmarkStart w:id="1" w:name="_Toc135021652"/>
      <w:bookmarkStart w:id="2" w:name="_Toc135036667"/>
      <w:bookmarkStart w:id="3" w:name="_Toc166315053"/>
      <w:bookmarkStart w:id="4" w:name="_Toc167001246"/>
      <w:bookmarkStart w:id="5" w:name="_Toc167001323"/>
      <w:bookmarkStart w:id="6" w:name="_Toc201048370"/>
      <w:bookmarkStart w:id="7" w:name="_Toc296344905"/>
      <w:bookmarkStart w:id="8" w:name="_Toc296345434"/>
      <w:bookmarkStart w:id="9" w:name="_Toc296411688"/>
      <w:bookmarkStart w:id="10" w:name="_Toc296427115"/>
      <w:bookmarkStart w:id="11" w:name="_Toc296427385"/>
      <w:bookmarkStart w:id="12" w:name="_Toc296427456"/>
      <w:bookmarkStart w:id="13" w:name="_Toc296427468"/>
      <w:bookmarkStart w:id="14" w:name="_Toc357407785"/>
      <w:bookmarkStart w:id="15" w:name="_Toc2760117"/>
      <w:bookmarkStart w:id="16" w:name="_Toc65590743"/>
      <w:r w:rsidRPr="00C0143E">
        <w:rPr>
          <w:sz w:val="28"/>
          <w:szCs w:val="28"/>
        </w:rPr>
        <w:t xml:space="preserve">2020.gada </w:t>
      </w:r>
      <w:bookmarkEnd w:id="0"/>
      <w:bookmarkEnd w:id="1"/>
      <w:bookmarkEnd w:id="2"/>
      <w:bookmarkEnd w:id="3"/>
      <w:bookmarkEnd w:id="4"/>
      <w:bookmarkEnd w:id="5"/>
      <w:bookmarkEnd w:id="6"/>
      <w:r w:rsidRPr="00C0143E">
        <w:rPr>
          <w:sz w:val="28"/>
          <w:szCs w:val="28"/>
        </w:rPr>
        <w:t>VSAC “Latgale” valsts budžeta finansējums un tā izlietojums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C0143E" w:rsidRPr="006D1301" w:rsidRDefault="00C0143E" w:rsidP="00C0143E">
      <w:pPr>
        <w:spacing w:line="276" w:lineRule="auto"/>
        <w:ind w:firstLine="720"/>
        <w:jc w:val="both"/>
        <w:rPr>
          <w:lang w:val="lv-LV"/>
        </w:rPr>
      </w:pPr>
      <w:r w:rsidRPr="006D1301">
        <w:rPr>
          <w:lang w:val="lv-LV"/>
        </w:rPr>
        <w:t xml:space="preserve">Centrā vidējais plānotais sociālās aprūpes pakalpojumu saņēmēju skaits ir </w:t>
      </w:r>
      <w:r w:rsidRPr="00520C7D">
        <w:rPr>
          <w:lang w:val="lv-LV"/>
        </w:rPr>
        <w:t>894</w:t>
      </w:r>
      <w:r w:rsidRPr="004E3449">
        <w:rPr>
          <w:lang w:val="lv-LV"/>
        </w:rPr>
        <w:t xml:space="preserve"> klients, bet faktiskā izpilde 20</w:t>
      </w:r>
      <w:r>
        <w:rPr>
          <w:lang w:val="lv-LV"/>
        </w:rPr>
        <w:t>20</w:t>
      </w:r>
      <w:r w:rsidRPr="004E3449">
        <w:rPr>
          <w:lang w:val="lv-LV"/>
        </w:rPr>
        <w:t xml:space="preserve">.gadā ir </w:t>
      </w:r>
      <w:r w:rsidRPr="00520C7D">
        <w:rPr>
          <w:lang w:val="lv-LV"/>
        </w:rPr>
        <w:t>882</w:t>
      </w:r>
      <w:r w:rsidRPr="004E3449">
        <w:rPr>
          <w:lang w:val="lv-LV"/>
        </w:rPr>
        <w:t xml:space="preserve"> klienti.</w:t>
      </w:r>
      <w:r w:rsidRPr="006D1301">
        <w:rPr>
          <w:lang w:val="lv-LV"/>
        </w:rPr>
        <w:t xml:space="preserve"> No plānotajām </w:t>
      </w:r>
      <w:r w:rsidRPr="001464A5">
        <w:rPr>
          <w:lang w:val="lv-LV"/>
        </w:rPr>
        <w:t>627,20</w:t>
      </w:r>
      <w:r w:rsidRPr="006D1301">
        <w:rPr>
          <w:lang w:val="lv-LV"/>
        </w:rPr>
        <w:t xml:space="preserve"> amata vietām 20</w:t>
      </w:r>
      <w:r>
        <w:rPr>
          <w:lang w:val="lv-LV"/>
        </w:rPr>
        <w:t>20</w:t>
      </w:r>
      <w:r w:rsidRPr="006D1301">
        <w:rPr>
          <w:lang w:val="lv-LV"/>
        </w:rPr>
        <w:t xml:space="preserve">.gadā vidēji faktiski aizņemtas </w:t>
      </w:r>
      <w:r w:rsidRPr="001464A5">
        <w:rPr>
          <w:lang w:val="lv-LV"/>
        </w:rPr>
        <w:t>602.5</w:t>
      </w:r>
      <w:r w:rsidRPr="006D1301">
        <w:rPr>
          <w:lang w:val="lv-LV"/>
        </w:rPr>
        <w:t xml:space="preserve"> amata vietas. </w:t>
      </w:r>
      <w:r w:rsidRPr="007C62D0">
        <w:rPr>
          <w:lang w:val="lv-LV"/>
        </w:rPr>
        <w:t>Amatu vietu neizpilde saistīta ar darbinieku maiņu, kā arī attiecīgu speciālistu (</w:t>
      </w:r>
      <w:r>
        <w:rPr>
          <w:lang w:val="lv-LV"/>
        </w:rPr>
        <w:t>mākslas terapeits</w:t>
      </w:r>
      <w:r w:rsidRPr="007C62D0">
        <w:rPr>
          <w:lang w:val="lv-LV"/>
        </w:rPr>
        <w:t>, psihologs, fizioterapeits</w:t>
      </w:r>
      <w:r>
        <w:rPr>
          <w:lang w:val="lv-LV"/>
        </w:rPr>
        <w:t>,logopēds,medicīnas māsas, aprūpētājas</w:t>
      </w:r>
      <w:r w:rsidRPr="007C62D0">
        <w:rPr>
          <w:lang w:val="lv-LV"/>
        </w:rPr>
        <w:t>) trūkumu darba tirgū.</w:t>
      </w:r>
      <w:r w:rsidRPr="006D1301">
        <w:rPr>
          <w:lang w:val="lv-LV"/>
        </w:rPr>
        <w:t xml:space="preserve"> </w:t>
      </w:r>
    </w:p>
    <w:p w:rsidR="00C0143E" w:rsidRPr="006D1301" w:rsidRDefault="00C0143E" w:rsidP="00C0143E">
      <w:pPr>
        <w:spacing w:line="276" w:lineRule="auto"/>
        <w:ind w:firstLine="720"/>
        <w:jc w:val="both"/>
        <w:rPr>
          <w:lang w:val="lv-LV"/>
        </w:rPr>
      </w:pPr>
      <w:r w:rsidRPr="006D1301">
        <w:rPr>
          <w:lang w:val="lv-LV"/>
        </w:rPr>
        <w:t>Centra 20</w:t>
      </w:r>
      <w:r>
        <w:rPr>
          <w:lang w:val="lv-LV"/>
        </w:rPr>
        <w:t>20</w:t>
      </w:r>
      <w:r w:rsidRPr="006D1301">
        <w:rPr>
          <w:lang w:val="lv-LV"/>
        </w:rPr>
        <w:t xml:space="preserve">.gada kopējie plānotie izdevumi programmā </w:t>
      </w:r>
      <w:r w:rsidRPr="006D1301">
        <w:rPr>
          <w:b/>
          <w:bCs/>
          <w:lang w:val="lv-LV"/>
        </w:rPr>
        <w:t>05.03.00</w:t>
      </w:r>
      <w:r>
        <w:rPr>
          <w:lang w:val="lv-LV"/>
        </w:rPr>
        <w:t xml:space="preserve"> bija </w:t>
      </w:r>
      <w:r w:rsidRPr="00062CCC">
        <w:rPr>
          <w:lang w:val="lv-LV"/>
        </w:rPr>
        <w:t>10 467 644</w:t>
      </w:r>
      <w:r>
        <w:rPr>
          <w:lang w:val="lv-LV"/>
        </w:rPr>
        <w:t> </w:t>
      </w:r>
      <w:r w:rsidRPr="006D1301">
        <w:rPr>
          <w:lang w:val="lv-LV"/>
        </w:rPr>
        <w:t xml:space="preserve">EUR. Faktiskie izdevumi pārskata periodā bija </w:t>
      </w:r>
      <w:r>
        <w:rPr>
          <w:lang w:val="lv-LV"/>
        </w:rPr>
        <w:t>10 445 944</w:t>
      </w:r>
      <w:r w:rsidRPr="006D1301">
        <w:rPr>
          <w:lang w:val="lv-LV"/>
        </w:rPr>
        <w:t xml:space="preserve"> EUR, tajā skaitā:</w:t>
      </w:r>
    </w:p>
    <w:p w:rsidR="00C0143E" w:rsidRPr="006D1301" w:rsidRDefault="00C0143E" w:rsidP="00C0143E">
      <w:pPr>
        <w:spacing w:line="276" w:lineRule="auto"/>
        <w:ind w:firstLine="720"/>
        <w:jc w:val="both"/>
        <w:rPr>
          <w:lang w:val="lv-LV"/>
        </w:rPr>
      </w:pPr>
      <w:r w:rsidRPr="006D1301">
        <w:rPr>
          <w:lang w:val="lv-LV"/>
        </w:rPr>
        <w:t xml:space="preserve">- atlīdzībai </w:t>
      </w:r>
      <w:r>
        <w:rPr>
          <w:lang w:val="lv-LV"/>
        </w:rPr>
        <w:t>7 383 627</w:t>
      </w:r>
      <w:r w:rsidRPr="006D1301">
        <w:rPr>
          <w:lang w:val="lv-LV"/>
        </w:rPr>
        <w:t xml:space="preserve"> EUR apmērā;</w:t>
      </w:r>
    </w:p>
    <w:p w:rsidR="00C0143E" w:rsidRPr="006D1301" w:rsidRDefault="00C0143E" w:rsidP="00C0143E">
      <w:pPr>
        <w:spacing w:line="276" w:lineRule="auto"/>
        <w:ind w:firstLine="720"/>
        <w:jc w:val="both"/>
        <w:rPr>
          <w:lang w:val="lv-LV"/>
        </w:rPr>
      </w:pPr>
      <w:r w:rsidRPr="006D1301">
        <w:rPr>
          <w:lang w:val="lv-LV"/>
        </w:rPr>
        <w:t xml:space="preserve">- precēm un pakalpojumiem </w:t>
      </w:r>
      <w:r>
        <w:rPr>
          <w:lang w:val="lv-LV"/>
        </w:rPr>
        <w:t>2 358 961</w:t>
      </w:r>
      <w:r w:rsidRPr="006D1301">
        <w:rPr>
          <w:lang w:val="lv-LV"/>
        </w:rPr>
        <w:t xml:space="preserve"> EUR apmērā;</w:t>
      </w:r>
      <w:bookmarkStart w:id="17" w:name="_GoBack"/>
      <w:bookmarkEnd w:id="17"/>
    </w:p>
    <w:p w:rsidR="00C0143E" w:rsidRPr="006D1301" w:rsidRDefault="00C0143E" w:rsidP="00C0143E">
      <w:pPr>
        <w:spacing w:line="276" w:lineRule="auto"/>
        <w:ind w:firstLine="720"/>
        <w:jc w:val="both"/>
        <w:rPr>
          <w:lang w:val="lv-LV"/>
        </w:rPr>
      </w:pPr>
      <w:r w:rsidRPr="006D1301">
        <w:rPr>
          <w:lang w:val="lv-LV"/>
        </w:rPr>
        <w:t xml:space="preserve">- sociāliem pabalstiem </w:t>
      </w:r>
      <w:r>
        <w:rPr>
          <w:lang w:val="lv-LV"/>
        </w:rPr>
        <w:t>337 687</w:t>
      </w:r>
      <w:r w:rsidRPr="006D1301">
        <w:rPr>
          <w:lang w:val="lv-LV"/>
        </w:rPr>
        <w:t xml:space="preserve"> EUR apmērā;</w:t>
      </w:r>
    </w:p>
    <w:p w:rsidR="00C0143E" w:rsidRDefault="00C0143E" w:rsidP="00C0143E">
      <w:pPr>
        <w:spacing w:line="276" w:lineRule="auto"/>
        <w:ind w:firstLine="720"/>
        <w:jc w:val="both"/>
        <w:rPr>
          <w:lang w:val="lv-LV"/>
        </w:rPr>
      </w:pPr>
      <w:r w:rsidRPr="006D1301">
        <w:rPr>
          <w:lang w:val="lv-LV"/>
        </w:rPr>
        <w:t xml:space="preserve">- kapitāliem izdevumiem </w:t>
      </w:r>
      <w:r>
        <w:rPr>
          <w:lang w:val="lv-LV"/>
        </w:rPr>
        <w:t>365 669</w:t>
      </w:r>
      <w:r w:rsidRPr="006D1301">
        <w:rPr>
          <w:lang w:val="lv-LV"/>
        </w:rPr>
        <w:t xml:space="preserve"> EUR apmērā</w:t>
      </w:r>
      <w:r>
        <w:rPr>
          <w:lang w:val="lv-LV"/>
        </w:rPr>
        <w:t xml:space="preserve"> (skat. 1.attēlā)</w:t>
      </w:r>
      <w:r w:rsidRPr="006D1301">
        <w:rPr>
          <w:lang w:val="lv-LV"/>
        </w:rPr>
        <w:t>.</w:t>
      </w:r>
    </w:p>
    <w:p w:rsidR="00C0143E" w:rsidRDefault="00C0143E" w:rsidP="00C0143E">
      <w:pPr>
        <w:spacing w:line="360" w:lineRule="auto"/>
        <w:ind w:firstLine="720"/>
        <w:jc w:val="right"/>
        <w:rPr>
          <w:highlight w:val="yellow"/>
          <w:lang w:val="lv-LV"/>
        </w:rPr>
      </w:pPr>
    </w:p>
    <w:p w:rsidR="00C0143E" w:rsidRPr="00F1579C" w:rsidRDefault="00C0143E" w:rsidP="00C0143E">
      <w:pPr>
        <w:spacing w:line="360" w:lineRule="auto"/>
        <w:ind w:firstLine="720"/>
        <w:jc w:val="right"/>
        <w:rPr>
          <w:b/>
          <w:i/>
          <w:lang w:val="lv-LV"/>
        </w:rPr>
      </w:pPr>
      <w:r w:rsidRPr="00F1579C">
        <w:rPr>
          <w:lang w:val="lv-LV"/>
        </w:rPr>
        <w:t xml:space="preserve">1.attēls </w:t>
      </w:r>
      <w:r w:rsidRPr="00F1579C">
        <w:rPr>
          <w:b/>
          <w:i/>
          <w:lang w:val="lv-LV"/>
        </w:rPr>
        <w:t xml:space="preserve">Valsts pamatbudžeta izdevumi </w:t>
      </w:r>
    </w:p>
    <w:p w:rsidR="00C0143E" w:rsidRPr="00FE711D" w:rsidRDefault="00C0143E" w:rsidP="00C0143E">
      <w:pPr>
        <w:spacing w:line="360" w:lineRule="auto"/>
        <w:ind w:firstLine="720"/>
        <w:jc w:val="right"/>
        <w:rPr>
          <w:lang w:val="lv-LV"/>
        </w:rPr>
      </w:pPr>
      <w:r w:rsidRPr="00F1579C">
        <w:rPr>
          <w:b/>
          <w:i/>
          <w:lang w:val="lv-LV"/>
        </w:rPr>
        <w:t>programmā 05.03.00. pa veidiem 2020.gadā</w:t>
      </w:r>
      <w:r w:rsidRPr="00FE711D">
        <w:rPr>
          <w:lang w:val="lv-LV"/>
        </w:rPr>
        <w:t xml:space="preserve"> </w:t>
      </w:r>
    </w:p>
    <w:p w:rsidR="00C0143E" w:rsidRDefault="00C0143E" w:rsidP="00C0143E">
      <w:pPr>
        <w:spacing w:line="276" w:lineRule="auto"/>
        <w:ind w:firstLine="720"/>
        <w:jc w:val="right"/>
        <w:rPr>
          <w:lang w:val="lv-LV"/>
        </w:rPr>
      </w:pPr>
    </w:p>
    <w:p w:rsidR="00C0143E" w:rsidRDefault="00C0143E" w:rsidP="00C0143E">
      <w:pPr>
        <w:spacing w:line="276" w:lineRule="auto"/>
        <w:ind w:firstLine="720"/>
        <w:jc w:val="both"/>
        <w:rPr>
          <w:lang w:val="lv-LV"/>
        </w:rPr>
      </w:pPr>
      <w:r w:rsidRPr="00F1579C">
        <w:rPr>
          <w:noProof/>
          <w:lang w:val="lv-LV" w:eastAsia="lv-LV"/>
        </w:rPr>
        <w:drawing>
          <wp:inline distT="0" distB="0" distL="0" distR="0">
            <wp:extent cx="5537835" cy="2939415"/>
            <wp:effectExtent l="0" t="0" r="5715" b="13335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143E" w:rsidRDefault="00C0143E" w:rsidP="00C0143E">
      <w:pPr>
        <w:spacing w:line="276" w:lineRule="auto"/>
        <w:ind w:firstLine="720"/>
        <w:jc w:val="both"/>
        <w:rPr>
          <w:lang w:val="lv-LV"/>
        </w:rPr>
      </w:pPr>
      <w:r>
        <w:rPr>
          <w:lang w:val="lv-LV"/>
        </w:rPr>
        <w:t>Izdevumu izmaiņas, salīdzinot ar iepriekšējiem pārskata gadiem programmā 05.03.00 var redzēt 2.attēlā.</w:t>
      </w:r>
    </w:p>
    <w:p w:rsidR="00C0143E" w:rsidRDefault="00C0143E" w:rsidP="00C0143E">
      <w:pPr>
        <w:spacing w:line="360" w:lineRule="auto"/>
        <w:ind w:firstLine="720"/>
        <w:jc w:val="right"/>
        <w:rPr>
          <w:lang w:val="lv-LV"/>
        </w:rPr>
      </w:pPr>
    </w:p>
    <w:p w:rsidR="00C0143E" w:rsidRDefault="00C0143E" w:rsidP="00C0143E">
      <w:pPr>
        <w:spacing w:line="360" w:lineRule="auto"/>
        <w:ind w:firstLine="720"/>
        <w:jc w:val="right"/>
        <w:rPr>
          <w:lang w:val="lv-LV"/>
        </w:rPr>
      </w:pPr>
    </w:p>
    <w:p w:rsidR="00C0143E" w:rsidRDefault="00C0143E" w:rsidP="00C0143E">
      <w:pPr>
        <w:spacing w:line="360" w:lineRule="auto"/>
        <w:ind w:firstLine="720"/>
        <w:jc w:val="right"/>
        <w:rPr>
          <w:lang w:val="lv-LV"/>
        </w:rPr>
      </w:pPr>
    </w:p>
    <w:p w:rsidR="00C0143E" w:rsidRDefault="00C0143E" w:rsidP="00C0143E">
      <w:pPr>
        <w:spacing w:line="360" w:lineRule="auto"/>
        <w:ind w:firstLine="720"/>
        <w:jc w:val="right"/>
        <w:rPr>
          <w:lang w:val="lv-LV"/>
        </w:rPr>
      </w:pPr>
    </w:p>
    <w:p w:rsidR="00C0143E" w:rsidRPr="00F1579C" w:rsidRDefault="00C0143E" w:rsidP="00C0143E">
      <w:pPr>
        <w:spacing w:line="360" w:lineRule="auto"/>
        <w:ind w:firstLine="720"/>
        <w:jc w:val="right"/>
        <w:rPr>
          <w:b/>
          <w:i/>
          <w:lang w:val="lv-LV"/>
        </w:rPr>
      </w:pPr>
      <w:r w:rsidRPr="00F1579C">
        <w:rPr>
          <w:lang w:val="lv-LV"/>
        </w:rPr>
        <w:t xml:space="preserve">2.attēls </w:t>
      </w:r>
      <w:r w:rsidRPr="00F1579C">
        <w:rPr>
          <w:b/>
          <w:i/>
          <w:lang w:val="lv-LV"/>
        </w:rPr>
        <w:t xml:space="preserve">Valsts pamatbudžeta izdevumi </w:t>
      </w:r>
    </w:p>
    <w:p w:rsidR="00C0143E" w:rsidRPr="00FE711D" w:rsidRDefault="00C0143E" w:rsidP="00C0143E">
      <w:pPr>
        <w:spacing w:line="360" w:lineRule="auto"/>
        <w:ind w:firstLine="720"/>
        <w:jc w:val="right"/>
        <w:rPr>
          <w:lang w:val="lv-LV"/>
        </w:rPr>
      </w:pPr>
      <w:r w:rsidRPr="00F1579C">
        <w:rPr>
          <w:b/>
          <w:i/>
          <w:lang w:val="lv-LV"/>
        </w:rPr>
        <w:t>programmā 05.03.00. 2018.- 2020.gadā</w:t>
      </w:r>
      <w:r w:rsidRPr="00FE711D">
        <w:rPr>
          <w:lang w:val="lv-LV"/>
        </w:rPr>
        <w:t xml:space="preserve"> </w:t>
      </w:r>
    </w:p>
    <w:p w:rsidR="00C0143E" w:rsidRDefault="00C0143E" w:rsidP="00C0143E">
      <w:pPr>
        <w:rPr>
          <w:highlight w:val="yellow"/>
        </w:rPr>
      </w:pPr>
    </w:p>
    <w:p w:rsidR="00C0143E" w:rsidRPr="0087685E" w:rsidRDefault="00C0143E" w:rsidP="00C0143E">
      <w:r w:rsidRPr="004B0DBE">
        <w:rPr>
          <w:noProof/>
          <w:lang w:val="lv-LV" w:eastAsia="lv-LV"/>
        </w:rPr>
        <w:drawing>
          <wp:inline distT="0" distB="0" distL="0" distR="0">
            <wp:extent cx="4568825" cy="2740025"/>
            <wp:effectExtent l="0" t="0" r="3175" b="3175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143E" w:rsidRPr="0087685E" w:rsidRDefault="00C0143E" w:rsidP="00C0143E">
      <w:pPr>
        <w:rPr>
          <w:lang w:val="lv-LV"/>
        </w:rPr>
      </w:pPr>
    </w:p>
    <w:p w:rsidR="00C0143E" w:rsidRDefault="00C0143E" w:rsidP="00C0143E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87685E">
        <w:rPr>
          <w:rFonts w:ascii="Times New Roman" w:hAnsi="Times New Roman"/>
          <w:sz w:val="24"/>
          <w:szCs w:val="24"/>
          <w:lang w:val="lv-LV"/>
        </w:rPr>
        <w:t xml:space="preserve">Izdevumi 2020. gadā, salīdzinot ar 2019. gadu, kopumā palielinājās par 956 677 EUR jeb 11 %. Atlīdzības izdevumi ir palielinājušies par 592 588 EUR jeb 10.9% </w:t>
      </w:r>
      <w:r w:rsidRPr="0087685E">
        <w:rPr>
          <w:rFonts w:ascii="Times New Roman" w:hAnsi="Times New Roman"/>
          <w:sz w:val="24"/>
          <w:szCs w:val="24"/>
          <w:lang w:val="lv-LV" w:eastAsia="lv-LV"/>
        </w:rPr>
        <w:t>saistībā ar sociālajā jomā nodarbināto darbinieku mēnešalgu palielinājumu nozarē</w:t>
      </w:r>
      <w:r>
        <w:rPr>
          <w:rFonts w:ascii="Times New Roman" w:hAnsi="Times New Roman"/>
          <w:sz w:val="24"/>
          <w:szCs w:val="24"/>
          <w:lang w:val="lv-LV"/>
        </w:rPr>
        <w:t xml:space="preserve"> un nodarbināto motivēšanā saistībā ar COVID-19 nodarbinātību paaugstinātas drošības apstākļos (skat. 2.attēlu).</w:t>
      </w:r>
    </w:p>
    <w:p w:rsidR="00C0143E" w:rsidRDefault="00C0143E" w:rsidP="00C0143E">
      <w:pPr>
        <w:spacing w:line="360" w:lineRule="auto"/>
        <w:ind w:firstLine="720"/>
        <w:jc w:val="right"/>
        <w:rPr>
          <w:highlight w:val="yellow"/>
          <w:lang w:val="lv-LV"/>
        </w:rPr>
      </w:pPr>
    </w:p>
    <w:p w:rsidR="00C0143E" w:rsidRPr="00F1579C" w:rsidRDefault="00C0143E" w:rsidP="00C0143E">
      <w:pPr>
        <w:spacing w:line="360" w:lineRule="auto"/>
        <w:ind w:firstLine="720"/>
        <w:jc w:val="right"/>
        <w:rPr>
          <w:b/>
          <w:i/>
          <w:lang w:val="lv-LV"/>
        </w:rPr>
      </w:pPr>
      <w:r w:rsidRPr="00F1579C">
        <w:rPr>
          <w:lang w:val="lv-LV"/>
        </w:rPr>
        <w:t xml:space="preserve">3.attēls </w:t>
      </w:r>
      <w:r w:rsidRPr="00F1579C">
        <w:rPr>
          <w:b/>
          <w:i/>
          <w:lang w:val="lv-LV"/>
        </w:rPr>
        <w:t xml:space="preserve">Valsts pamatbudžeta izdevumi </w:t>
      </w:r>
    </w:p>
    <w:p w:rsidR="00C0143E" w:rsidRDefault="00C0143E" w:rsidP="00C0143E">
      <w:pPr>
        <w:pStyle w:val="ListParagraph"/>
        <w:spacing w:after="0"/>
        <w:ind w:left="0" w:firstLine="720"/>
        <w:jc w:val="right"/>
        <w:rPr>
          <w:rFonts w:ascii="Times New Roman" w:hAnsi="Times New Roman"/>
          <w:sz w:val="24"/>
          <w:szCs w:val="24"/>
          <w:lang w:val="lv-LV"/>
        </w:rPr>
      </w:pPr>
      <w:r w:rsidRPr="00F1579C">
        <w:rPr>
          <w:b/>
          <w:i/>
          <w:lang w:val="lv-LV"/>
        </w:rPr>
        <w:t>atlīdzībai programmā 05.03.00. 2018.- 2020.gadā</w:t>
      </w:r>
    </w:p>
    <w:p w:rsidR="00C0143E" w:rsidRPr="0087685E" w:rsidRDefault="00C0143E" w:rsidP="00C0143E">
      <w:pPr>
        <w:pStyle w:val="ListParagraph"/>
        <w:spacing w:after="0"/>
        <w:ind w:left="0" w:firstLine="720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  <w:r w:rsidRPr="004B0DBE">
        <w:rPr>
          <w:noProof/>
          <w:lang w:val="lv-LV" w:eastAsia="lv-LV"/>
        </w:rPr>
        <w:drawing>
          <wp:inline distT="0" distB="0" distL="0" distR="0">
            <wp:extent cx="4568825" cy="2740025"/>
            <wp:effectExtent l="0" t="0" r="3175" b="317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143E" w:rsidRPr="0087685E" w:rsidRDefault="00C0143E" w:rsidP="00C0143E">
      <w:pPr>
        <w:spacing w:line="276" w:lineRule="auto"/>
        <w:ind w:firstLine="720"/>
        <w:jc w:val="both"/>
        <w:rPr>
          <w:color w:val="FF0000"/>
          <w:lang w:val="lv-LV"/>
        </w:rPr>
      </w:pPr>
      <w:r w:rsidRPr="0087685E">
        <w:rPr>
          <w:lang w:val="lv-LV"/>
        </w:rPr>
        <w:t xml:space="preserve"> Izdevumi precēm un pakalpojumiem ir palielinājums par 173 844 EUR jeb 7,9 % </w:t>
      </w:r>
      <w:r w:rsidRPr="0087685E">
        <w:rPr>
          <w:lang w:val="lv-LV" w:eastAsia="lv-LV"/>
        </w:rPr>
        <w:t>sakarā ar lielāku  infrastruktūras  pasākumu ieviešanu</w:t>
      </w:r>
      <w:r>
        <w:rPr>
          <w:lang w:val="lv-LV" w:eastAsia="lv-LV"/>
        </w:rPr>
        <w:t xml:space="preserve"> pakalpojuma kvalitātes uzlabošanai </w:t>
      </w:r>
      <w:r w:rsidRPr="0087685E">
        <w:rPr>
          <w:lang w:val="lv-LV" w:eastAsia="lv-LV"/>
        </w:rPr>
        <w:t xml:space="preserve"> filiālēs</w:t>
      </w:r>
      <w:r w:rsidRPr="0087685E">
        <w:rPr>
          <w:lang w:val="lv-LV"/>
        </w:rPr>
        <w:t>. 2020. gadā izdevumi kapitāliem izdevumiem, salīdzinot ar 2019. gadu, palielinājās par 66 716 EUR jeb 22.3%</w:t>
      </w:r>
      <w:r>
        <w:rPr>
          <w:lang w:val="lv-LV"/>
        </w:rPr>
        <w:t xml:space="preserve"> sakarā ar lielāku ugunsdrošības pasākumu ieviešanu un infrastruktūras sakārtošanu.</w:t>
      </w:r>
    </w:p>
    <w:p w:rsidR="00C0143E" w:rsidRPr="0087685E" w:rsidRDefault="00C0143E" w:rsidP="00C0143E">
      <w:pPr>
        <w:spacing w:line="276" w:lineRule="auto"/>
        <w:ind w:firstLine="720"/>
        <w:jc w:val="both"/>
        <w:rPr>
          <w:lang w:val="lv-LV"/>
        </w:rPr>
      </w:pPr>
      <w:r w:rsidRPr="0087685E">
        <w:rPr>
          <w:lang w:val="lv-LV"/>
        </w:rPr>
        <w:lastRenderedPageBreak/>
        <w:t xml:space="preserve">Centra 2020.gada kopējie plānotie izdevumi programmā </w:t>
      </w:r>
      <w:r w:rsidRPr="0087685E">
        <w:rPr>
          <w:b/>
          <w:lang w:val="lv-LV"/>
        </w:rPr>
        <w:t>64.07.00</w:t>
      </w:r>
      <w:r w:rsidRPr="0087685E">
        <w:rPr>
          <w:lang w:val="lv-LV"/>
        </w:rPr>
        <w:t xml:space="preserve"> bija 2 155 EUR. Faktiskie ieņēmumi un izdevumi pārskata periodā veidoja 2 155 EUR, tajā skaitā:</w:t>
      </w:r>
    </w:p>
    <w:p w:rsidR="00C0143E" w:rsidRPr="0087685E" w:rsidRDefault="00C0143E" w:rsidP="00C0143E">
      <w:pPr>
        <w:numPr>
          <w:ilvl w:val="0"/>
          <w:numId w:val="2"/>
        </w:numPr>
        <w:spacing w:line="276" w:lineRule="auto"/>
        <w:ind w:left="0" w:firstLine="720"/>
        <w:jc w:val="both"/>
        <w:rPr>
          <w:lang w:val="lv-LV"/>
        </w:rPr>
      </w:pPr>
      <w:r w:rsidRPr="0087685E">
        <w:rPr>
          <w:lang w:val="lv-LV"/>
        </w:rPr>
        <w:t>preces un pakalpojumi 2 155 EUR apmērā.</w:t>
      </w:r>
    </w:p>
    <w:p w:rsidR="00C0143E" w:rsidRPr="0087685E" w:rsidRDefault="00C0143E" w:rsidP="00C0143E">
      <w:pPr>
        <w:spacing w:line="276" w:lineRule="auto"/>
        <w:ind w:firstLine="720"/>
        <w:jc w:val="both"/>
        <w:rPr>
          <w:lang w:val="lv-LV"/>
        </w:rPr>
      </w:pPr>
      <w:r w:rsidRPr="0087685E">
        <w:rPr>
          <w:lang w:val="lv-LV"/>
        </w:rPr>
        <w:t xml:space="preserve">Centra 2020.gada kopējie plānotie izdevumi programmā </w:t>
      </w:r>
      <w:r w:rsidRPr="0087685E">
        <w:rPr>
          <w:b/>
          <w:lang w:val="lv-LV"/>
        </w:rPr>
        <w:t>99.00.00</w:t>
      </w:r>
      <w:r w:rsidRPr="0087685E">
        <w:rPr>
          <w:lang w:val="lv-LV"/>
        </w:rPr>
        <w:t>. bija 120 969 EUR. Faktiskie izdevumi pārskata periodā veidoja 120 969 EUR, tajā skaitā:</w:t>
      </w:r>
    </w:p>
    <w:p w:rsidR="00C0143E" w:rsidRPr="0087685E" w:rsidRDefault="00C0143E" w:rsidP="00C0143E">
      <w:pPr>
        <w:spacing w:line="276" w:lineRule="auto"/>
        <w:ind w:firstLine="720"/>
        <w:jc w:val="both"/>
        <w:rPr>
          <w:lang w:val="lv-LV"/>
        </w:rPr>
      </w:pPr>
      <w:r w:rsidRPr="0087685E">
        <w:rPr>
          <w:lang w:val="lv-LV"/>
        </w:rPr>
        <w:t>- COVID-19  pretepidēmijas pasākumu nodrošināšanai individuālo aizsardzības līdzekļu un dezinfekcijas līdzekļu iegādei  27 686 EUR apmērā</w:t>
      </w:r>
      <w:r>
        <w:rPr>
          <w:lang w:val="lv-LV"/>
        </w:rPr>
        <w:t>;</w:t>
      </w:r>
    </w:p>
    <w:p w:rsidR="00C0143E" w:rsidRPr="0087685E" w:rsidRDefault="00C0143E" w:rsidP="00C0143E">
      <w:pPr>
        <w:spacing w:line="276" w:lineRule="auto"/>
        <w:ind w:firstLine="720"/>
        <w:jc w:val="both"/>
        <w:rPr>
          <w:lang w:val="lv-LV"/>
        </w:rPr>
      </w:pPr>
      <w:r w:rsidRPr="0087685E">
        <w:rPr>
          <w:lang w:val="lv-LV"/>
        </w:rPr>
        <w:t>- COVID-19 pretepidēmijas pasākumu nodrošināšanai</w:t>
      </w:r>
      <w:r>
        <w:rPr>
          <w:lang w:val="lv-LV"/>
        </w:rPr>
        <w:t xml:space="preserve"> bakterecīdo lampu, automā</w:t>
      </w:r>
      <w:r w:rsidRPr="0087685E">
        <w:rPr>
          <w:lang w:val="lv-LV"/>
        </w:rPr>
        <w:t>tisko virsmu dezinfekcijas iekātu iegādei, videonovērošanas sistēmu izbūvei 93 283 EUR.</w:t>
      </w:r>
    </w:p>
    <w:p w:rsidR="00C0143E" w:rsidRPr="0087685E" w:rsidRDefault="00C0143E" w:rsidP="00C0143E">
      <w:pPr>
        <w:spacing w:line="276" w:lineRule="auto"/>
        <w:ind w:firstLine="720"/>
        <w:jc w:val="both"/>
        <w:rPr>
          <w:lang w:val="lv-LV"/>
        </w:rPr>
      </w:pPr>
      <w:r w:rsidRPr="0087685E">
        <w:rPr>
          <w:lang w:val="lv-LV"/>
        </w:rPr>
        <w:t xml:space="preserve"> </w:t>
      </w:r>
    </w:p>
    <w:p w:rsidR="00C0143E" w:rsidRPr="0087685E" w:rsidRDefault="00C0143E" w:rsidP="00C0143E">
      <w:pPr>
        <w:jc w:val="right"/>
        <w:rPr>
          <w:lang w:val="lv-LV"/>
        </w:rPr>
      </w:pPr>
    </w:p>
    <w:p w:rsidR="00C0143E" w:rsidRPr="0087685E" w:rsidRDefault="00C0143E" w:rsidP="00C0143E">
      <w:pPr>
        <w:jc w:val="right"/>
        <w:rPr>
          <w:b/>
          <w:lang w:val="lv-LV"/>
        </w:rPr>
      </w:pPr>
      <w:r w:rsidRPr="0087685E">
        <w:rPr>
          <w:lang w:val="lv-LV"/>
        </w:rPr>
        <w:t xml:space="preserve">1.tabula </w:t>
      </w:r>
      <w:r w:rsidRPr="0087685E">
        <w:rPr>
          <w:b/>
          <w:i/>
          <w:lang w:val="lv-LV"/>
        </w:rPr>
        <w:t>Valsts budžeta programma 05.03.00 Valsts sociālie pakalpojumi institūcijās</w:t>
      </w:r>
    </w:p>
    <w:p w:rsidR="00C0143E" w:rsidRPr="0087685E" w:rsidRDefault="00C0143E" w:rsidP="00C0143E">
      <w:pPr>
        <w:pStyle w:val="Caption"/>
        <w:keepNext/>
        <w:jc w:val="right"/>
        <w:rPr>
          <w:b w:val="0"/>
          <w:sz w:val="24"/>
        </w:rPr>
      </w:pPr>
    </w:p>
    <w:tbl>
      <w:tblPr>
        <w:tblW w:w="3771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2815"/>
        <w:gridCol w:w="1364"/>
        <w:gridCol w:w="1412"/>
      </w:tblGrid>
      <w:tr w:rsidR="00C0143E" w:rsidRPr="0087685E" w:rsidTr="00C659DF">
        <w:trPr>
          <w:trHeight w:val="252"/>
          <w:tblCellSpacing w:w="6" w:type="dxa"/>
          <w:jc w:val="center"/>
        </w:trPr>
        <w:tc>
          <w:tcPr>
            <w:tcW w:w="519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Nr.</w:t>
            </w:r>
          </w:p>
          <w:p w:rsidR="00C0143E" w:rsidRPr="0087685E" w:rsidRDefault="00C0143E" w:rsidP="00C659DF">
            <w:pPr>
              <w:pStyle w:val="NormalWeb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p.k.</w:t>
            </w:r>
          </w:p>
        </w:tc>
        <w:tc>
          <w:tcPr>
            <w:tcW w:w="224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Finansiālie rādītāji</w:t>
            </w:r>
          </w:p>
        </w:tc>
        <w:tc>
          <w:tcPr>
            <w:tcW w:w="220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Pārskata gadā EUR</w:t>
            </w:r>
          </w:p>
        </w:tc>
      </w:tr>
      <w:tr w:rsidR="00C0143E" w:rsidRPr="0087685E" w:rsidTr="00C659DF">
        <w:trPr>
          <w:trHeight w:val="180"/>
          <w:tblCellSpacing w:w="6" w:type="dxa"/>
          <w:jc w:val="center"/>
        </w:trPr>
        <w:tc>
          <w:tcPr>
            <w:tcW w:w="0" w:type="auto"/>
            <w:vMerge/>
            <w:vAlign w:val="center"/>
          </w:tcPr>
          <w:p w:rsidR="00C0143E" w:rsidRPr="0087685E" w:rsidRDefault="00C0143E" w:rsidP="00C659DF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0" w:type="auto"/>
            <w:vMerge/>
            <w:vAlign w:val="center"/>
          </w:tcPr>
          <w:p w:rsidR="00C0143E" w:rsidRPr="0087685E" w:rsidRDefault="00C0143E" w:rsidP="00C659DF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spacing w:line="180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apstiprināts likumā</w:t>
            </w:r>
          </w:p>
        </w:tc>
        <w:tc>
          <w:tcPr>
            <w:tcW w:w="111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spacing w:line="180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faktiskā</w:t>
            </w:r>
            <w:r w:rsidRPr="0087685E">
              <w:rPr>
                <w:color w:val="000000"/>
              </w:rPr>
              <w:br/>
              <w:t>izpilde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1.</w:t>
            </w:r>
          </w:p>
        </w:tc>
        <w:tc>
          <w:tcPr>
            <w:tcW w:w="22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Finanšu resursi izdevumu segšanai (kopā)</w:t>
            </w:r>
          </w:p>
        </w:tc>
        <w:tc>
          <w:tcPr>
            <w:tcW w:w="10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10 467 644</w:t>
            </w:r>
          </w:p>
        </w:tc>
        <w:tc>
          <w:tcPr>
            <w:tcW w:w="111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rPr>
                <w:lang w:val="lv-LV"/>
              </w:rPr>
            </w:pPr>
            <w:r w:rsidRPr="0087685E">
              <w:rPr>
                <w:lang w:val="lv-LV"/>
              </w:rPr>
              <w:t>10 445 944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1.1.</w:t>
            </w:r>
          </w:p>
        </w:tc>
        <w:tc>
          <w:tcPr>
            <w:tcW w:w="22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Dotācijas</w:t>
            </w:r>
          </w:p>
        </w:tc>
        <w:tc>
          <w:tcPr>
            <w:tcW w:w="10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8 942 886</w:t>
            </w:r>
          </w:p>
        </w:tc>
        <w:tc>
          <w:tcPr>
            <w:tcW w:w="111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8 942 886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1.2.</w:t>
            </w:r>
          </w:p>
        </w:tc>
        <w:tc>
          <w:tcPr>
            <w:tcW w:w="22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Maksas pakalpojumi un citi pašu ieņēmumi</w:t>
            </w:r>
          </w:p>
        </w:tc>
        <w:tc>
          <w:tcPr>
            <w:tcW w:w="10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1 524 758</w:t>
            </w:r>
          </w:p>
        </w:tc>
        <w:tc>
          <w:tcPr>
            <w:tcW w:w="111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1 503 058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</w:p>
        </w:tc>
        <w:tc>
          <w:tcPr>
            <w:tcW w:w="22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rPr>
                <w:color w:val="000000"/>
              </w:rPr>
            </w:pPr>
          </w:p>
        </w:tc>
        <w:tc>
          <w:tcPr>
            <w:tcW w:w="10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</w:p>
        </w:tc>
        <w:tc>
          <w:tcPr>
            <w:tcW w:w="111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2.</w:t>
            </w:r>
          </w:p>
        </w:tc>
        <w:tc>
          <w:tcPr>
            <w:tcW w:w="22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Izdevumi (kopā)</w:t>
            </w:r>
          </w:p>
        </w:tc>
        <w:tc>
          <w:tcPr>
            <w:tcW w:w="10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10 467 644</w:t>
            </w:r>
          </w:p>
        </w:tc>
        <w:tc>
          <w:tcPr>
            <w:tcW w:w="111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10 445 944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2.1.</w:t>
            </w:r>
          </w:p>
        </w:tc>
        <w:tc>
          <w:tcPr>
            <w:tcW w:w="22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Uzturēšanas izdevumi (kopā)</w:t>
            </w:r>
          </w:p>
        </w:tc>
        <w:tc>
          <w:tcPr>
            <w:tcW w:w="10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10 101 975</w:t>
            </w:r>
          </w:p>
        </w:tc>
        <w:tc>
          <w:tcPr>
            <w:tcW w:w="111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10 080 275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2.1.1.</w:t>
            </w:r>
          </w:p>
        </w:tc>
        <w:tc>
          <w:tcPr>
            <w:tcW w:w="22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Kārtējie izdevumi</w:t>
            </w:r>
          </w:p>
        </w:tc>
        <w:tc>
          <w:tcPr>
            <w:tcW w:w="10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9 755 142</w:t>
            </w:r>
          </w:p>
        </w:tc>
        <w:tc>
          <w:tcPr>
            <w:tcW w:w="111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9 742 588</w:t>
            </w:r>
          </w:p>
        </w:tc>
      </w:tr>
      <w:tr w:rsidR="00C0143E" w:rsidRPr="0087685E" w:rsidTr="00C659DF">
        <w:trPr>
          <w:trHeight w:val="540"/>
          <w:tblCellSpacing w:w="6" w:type="dxa"/>
          <w:jc w:val="center"/>
        </w:trPr>
        <w:tc>
          <w:tcPr>
            <w:tcW w:w="51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2.1.2.</w:t>
            </w:r>
          </w:p>
        </w:tc>
        <w:tc>
          <w:tcPr>
            <w:tcW w:w="22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Subsīdijas, dotācijas un sociālie pabalsti</w:t>
            </w:r>
          </w:p>
        </w:tc>
        <w:tc>
          <w:tcPr>
            <w:tcW w:w="10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346 833</w:t>
            </w:r>
          </w:p>
        </w:tc>
        <w:tc>
          <w:tcPr>
            <w:tcW w:w="111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337 687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2.2.</w:t>
            </w:r>
          </w:p>
        </w:tc>
        <w:tc>
          <w:tcPr>
            <w:tcW w:w="22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Izdevumi kapitālieguldījumiem</w:t>
            </w:r>
          </w:p>
        </w:tc>
        <w:tc>
          <w:tcPr>
            <w:tcW w:w="10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365 669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365 669</w:t>
            </w:r>
          </w:p>
        </w:tc>
      </w:tr>
    </w:tbl>
    <w:p w:rsidR="00C0143E" w:rsidRPr="0087685E" w:rsidRDefault="00C0143E" w:rsidP="00C0143E">
      <w:pPr>
        <w:rPr>
          <w:lang w:val="lv-LV"/>
        </w:rPr>
      </w:pPr>
    </w:p>
    <w:p w:rsidR="00C0143E" w:rsidRPr="0087685E" w:rsidRDefault="00C0143E" w:rsidP="00C0143E">
      <w:pPr>
        <w:jc w:val="right"/>
        <w:rPr>
          <w:lang w:val="lv-LV"/>
        </w:rPr>
      </w:pPr>
    </w:p>
    <w:p w:rsidR="00C0143E" w:rsidRPr="0087685E" w:rsidRDefault="00C0143E" w:rsidP="00C0143E">
      <w:pPr>
        <w:jc w:val="right"/>
        <w:rPr>
          <w:b/>
          <w:i/>
          <w:lang w:val="lv-LV"/>
        </w:rPr>
      </w:pPr>
      <w:r w:rsidRPr="0087685E">
        <w:rPr>
          <w:lang w:val="lv-LV"/>
        </w:rPr>
        <w:t xml:space="preserve">2.tabula </w:t>
      </w:r>
      <w:r w:rsidRPr="0087685E">
        <w:rPr>
          <w:b/>
          <w:i/>
          <w:lang w:val="lv-LV"/>
        </w:rPr>
        <w:t>Valsts budžeta programma 64.07.00</w:t>
      </w:r>
    </w:p>
    <w:p w:rsidR="00C0143E" w:rsidRPr="0087685E" w:rsidRDefault="00C0143E" w:rsidP="00C0143E">
      <w:pPr>
        <w:jc w:val="center"/>
        <w:rPr>
          <w:i/>
          <w:lang w:val="lv-LV"/>
        </w:rPr>
      </w:pPr>
      <w:r w:rsidRPr="0087685E">
        <w:rPr>
          <w:i/>
          <w:lang w:val="lv-LV"/>
        </w:rPr>
        <w:t xml:space="preserve"> Eiropas Lauksaimniecības garantiju fonda (ELGF)  projektu un pasākumu īstenošana labklājības nozarē (2014-2020)</w:t>
      </w:r>
    </w:p>
    <w:p w:rsidR="00C0143E" w:rsidRPr="0087685E" w:rsidRDefault="00C0143E" w:rsidP="00C0143E">
      <w:pPr>
        <w:pStyle w:val="Caption"/>
        <w:keepNext/>
        <w:jc w:val="right"/>
        <w:rPr>
          <w:b w:val="0"/>
          <w:sz w:val="24"/>
        </w:rPr>
      </w:pPr>
    </w:p>
    <w:tbl>
      <w:tblPr>
        <w:tblW w:w="3771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2792"/>
        <w:gridCol w:w="1351"/>
        <w:gridCol w:w="1451"/>
      </w:tblGrid>
      <w:tr w:rsidR="00C0143E" w:rsidRPr="0087685E" w:rsidTr="00C659DF">
        <w:trPr>
          <w:trHeight w:val="252"/>
          <w:tblCellSpacing w:w="6" w:type="dxa"/>
          <w:jc w:val="center"/>
        </w:trPr>
        <w:tc>
          <w:tcPr>
            <w:tcW w:w="5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Nr.</w:t>
            </w:r>
          </w:p>
          <w:p w:rsidR="00C0143E" w:rsidRPr="0087685E" w:rsidRDefault="00C0143E" w:rsidP="00C659DF">
            <w:pPr>
              <w:pStyle w:val="NormalWeb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p.k.</w:t>
            </w:r>
          </w:p>
        </w:tc>
        <w:tc>
          <w:tcPr>
            <w:tcW w:w="223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Finansiālie rādītāji</w:t>
            </w:r>
          </w:p>
        </w:tc>
        <w:tc>
          <w:tcPr>
            <w:tcW w:w="222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Pārskata gadā EUR</w:t>
            </w:r>
          </w:p>
        </w:tc>
      </w:tr>
      <w:tr w:rsidR="00C0143E" w:rsidRPr="0087685E" w:rsidTr="00C659DF">
        <w:trPr>
          <w:trHeight w:val="180"/>
          <w:tblCellSpacing w:w="6" w:type="dxa"/>
          <w:jc w:val="center"/>
        </w:trPr>
        <w:tc>
          <w:tcPr>
            <w:tcW w:w="0" w:type="auto"/>
            <w:vMerge/>
            <w:vAlign w:val="center"/>
          </w:tcPr>
          <w:p w:rsidR="00C0143E" w:rsidRPr="0087685E" w:rsidRDefault="00C0143E" w:rsidP="00C659DF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0" w:type="auto"/>
            <w:vMerge/>
            <w:vAlign w:val="center"/>
          </w:tcPr>
          <w:p w:rsidR="00C0143E" w:rsidRPr="0087685E" w:rsidRDefault="00C0143E" w:rsidP="00C659DF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spacing w:line="180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apstiprināts likumā</w:t>
            </w:r>
          </w:p>
        </w:tc>
        <w:tc>
          <w:tcPr>
            <w:tcW w:w="1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spacing w:line="180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faktiskā</w:t>
            </w:r>
            <w:r w:rsidRPr="0087685E">
              <w:rPr>
                <w:color w:val="000000"/>
              </w:rPr>
              <w:br/>
              <w:t>izpilde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1.</w:t>
            </w:r>
          </w:p>
        </w:tc>
        <w:tc>
          <w:tcPr>
            <w:tcW w:w="223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Finanšu resursi izdevumu segšanai (kopā)</w:t>
            </w:r>
          </w:p>
        </w:tc>
        <w:tc>
          <w:tcPr>
            <w:tcW w:w="10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2 155</w:t>
            </w:r>
          </w:p>
        </w:tc>
        <w:tc>
          <w:tcPr>
            <w:tcW w:w="11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2 155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1.1.</w:t>
            </w:r>
          </w:p>
        </w:tc>
        <w:tc>
          <w:tcPr>
            <w:tcW w:w="223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Transferti</w:t>
            </w:r>
          </w:p>
        </w:tc>
        <w:tc>
          <w:tcPr>
            <w:tcW w:w="10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2 155</w:t>
            </w:r>
          </w:p>
        </w:tc>
        <w:tc>
          <w:tcPr>
            <w:tcW w:w="11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2 155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2.</w:t>
            </w:r>
          </w:p>
        </w:tc>
        <w:tc>
          <w:tcPr>
            <w:tcW w:w="223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Izdevumi (kopā)</w:t>
            </w:r>
          </w:p>
        </w:tc>
        <w:tc>
          <w:tcPr>
            <w:tcW w:w="10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2 155</w:t>
            </w:r>
          </w:p>
        </w:tc>
        <w:tc>
          <w:tcPr>
            <w:tcW w:w="11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2 155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lastRenderedPageBreak/>
              <w:t>2.1.</w:t>
            </w:r>
          </w:p>
        </w:tc>
        <w:tc>
          <w:tcPr>
            <w:tcW w:w="223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Uzturēšanas izdevumi (kopā)</w:t>
            </w:r>
          </w:p>
        </w:tc>
        <w:tc>
          <w:tcPr>
            <w:tcW w:w="10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2 155</w:t>
            </w:r>
          </w:p>
        </w:tc>
        <w:tc>
          <w:tcPr>
            <w:tcW w:w="11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2 155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2.1.1.</w:t>
            </w:r>
          </w:p>
        </w:tc>
        <w:tc>
          <w:tcPr>
            <w:tcW w:w="223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Kārtējie izdevumi</w:t>
            </w:r>
          </w:p>
        </w:tc>
        <w:tc>
          <w:tcPr>
            <w:tcW w:w="10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2 155</w:t>
            </w:r>
          </w:p>
        </w:tc>
        <w:tc>
          <w:tcPr>
            <w:tcW w:w="11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2 155</w:t>
            </w:r>
          </w:p>
        </w:tc>
      </w:tr>
    </w:tbl>
    <w:p w:rsidR="00C0143E" w:rsidRPr="0087685E" w:rsidRDefault="00C0143E" w:rsidP="00C0143E">
      <w:pPr>
        <w:jc w:val="center"/>
        <w:rPr>
          <w:lang w:val="lv-LV"/>
        </w:rPr>
      </w:pPr>
    </w:p>
    <w:p w:rsidR="00C0143E" w:rsidRPr="0087685E" w:rsidRDefault="00C0143E" w:rsidP="00C0143E">
      <w:pPr>
        <w:jc w:val="right"/>
        <w:rPr>
          <w:b/>
          <w:i/>
          <w:lang w:val="lv-LV"/>
        </w:rPr>
      </w:pPr>
      <w:r w:rsidRPr="0087685E">
        <w:rPr>
          <w:i/>
          <w:lang w:val="lv-LV"/>
        </w:rPr>
        <w:t xml:space="preserve">3.tabula </w:t>
      </w:r>
      <w:r w:rsidRPr="0087685E">
        <w:rPr>
          <w:b/>
          <w:i/>
          <w:lang w:val="lv-LV"/>
        </w:rPr>
        <w:t>Valsts budžeta programma 99.00.00</w:t>
      </w:r>
    </w:p>
    <w:p w:rsidR="00C0143E" w:rsidRPr="0087685E" w:rsidRDefault="00C0143E" w:rsidP="00C0143E">
      <w:pPr>
        <w:ind w:firstLine="720"/>
        <w:jc w:val="center"/>
        <w:rPr>
          <w:i/>
          <w:lang w:val="lv-LV"/>
        </w:rPr>
      </w:pPr>
      <w:r w:rsidRPr="0087685E">
        <w:rPr>
          <w:i/>
          <w:lang w:val="lv-LV"/>
        </w:rPr>
        <w:t>Līdzekļu neparedzētiem gadījumiem izlietojums</w:t>
      </w:r>
    </w:p>
    <w:p w:rsidR="00C0143E" w:rsidRPr="0087685E" w:rsidRDefault="00C0143E" w:rsidP="00C0143E">
      <w:pPr>
        <w:pStyle w:val="Caption"/>
        <w:keepNext/>
        <w:jc w:val="right"/>
        <w:rPr>
          <w:b w:val="0"/>
          <w:sz w:val="24"/>
        </w:rPr>
      </w:pPr>
    </w:p>
    <w:tbl>
      <w:tblPr>
        <w:tblW w:w="3771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2777"/>
        <w:gridCol w:w="1343"/>
        <w:gridCol w:w="1473"/>
      </w:tblGrid>
      <w:tr w:rsidR="00C0143E" w:rsidRPr="0087685E" w:rsidTr="00C659DF">
        <w:trPr>
          <w:trHeight w:val="252"/>
          <w:tblCellSpacing w:w="6" w:type="dxa"/>
          <w:jc w:val="center"/>
        </w:trPr>
        <w:tc>
          <w:tcPr>
            <w:tcW w:w="517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Nr.</w:t>
            </w:r>
          </w:p>
          <w:p w:rsidR="00C0143E" w:rsidRPr="0087685E" w:rsidRDefault="00C0143E" w:rsidP="00C659DF">
            <w:pPr>
              <w:pStyle w:val="NormalWeb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p.k.</w:t>
            </w:r>
          </w:p>
        </w:tc>
        <w:tc>
          <w:tcPr>
            <w:tcW w:w="221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Finansiālie rādītāji</w:t>
            </w:r>
          </w:p>
        </w:tc>
        <w:tc>
          <w:tcPr>
            <w:tcW w:w="22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Pārskata gadā EUR</w:t>
            </w:r>
          </w:p>
        </w:tc>
      </w:tr>
      <w:tr w:rsidR="00C0143E" w:rsidRPr="0087685E" w:rsidTr="00C659DF">
        <w:trPr>
          <w:trHeight w:val="180"/>
          <w:tblCellSpacing w:w="6" w:type="dxa"/>
          <w:jc w:val="center"/>
        </w:trPr>
        <w:tc>
          <w:tcPr>
            <w:tcW w:w="0" w:type="auto"/>
            <w:vMerge/>
            <w:vAlign w:val="center"/>
          </w:tcPr>
          <w:p w:rsidR="00C0143E" w:rsidRPr="0087685E" w:rsidRDefault="00C0143E" w:rsidP="00C659DF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0" w:type="auto"/>
            <w:vMerge/>
            <w:vAlign w:val="center"/>
          </w:tcPr>
          <w:p w:rsidR="00C0143E" w:rsidRPr="0087685E" w:rsidRDefault="00C0143E" w:rsidP="00C659DF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spacing w:line="180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apstiprināts likumā</w:t>
            </w:r>
          </w:p>
        </w:tc>
        <w:tc>
          <w:tcPr>
            <w:tcW w:w="11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43E" w:rsidRPr="0087685E" w:rsidRDefault="00C0143E" w:rsidP="00C659DF">
            <w:pPr>
              <w:pStyle w:val="NormalWeb"/>
              <w:spacing w:line="180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faktiskā</w:t>
            </w:r>
            <w:r w:rsidRPr="0087685E">
              <w:rPr>
                <w:color w:val="000000"/>
              </w:rPr>
              <w:br/>
              <w:t>izpilde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1.</w:t>
            </w:r>
          </w:p>
        </w:tc>
        <w:tc>
          <w:tcPr>
            <w:tcW w:w="22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Finanšu resursi izdevumu segšanai (kopā)</w:t>
            </w:r>
          </w:p>
        </w:tc>
        <w:tc>
          <w:tcPr>
            <w:tcW w:w="10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120 969</w:t>
            </w:r>
          </w:p>
        </w:tc>
        <w:tc>
          <w:tcPr>
            <w:tcW w:w="115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120 968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1.1.</w:t>
            </w:r>
          </w:p>
        </w:tc>
        <w:tc>
          <w:tcPr>
            <w:tcW w:w="22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Dotācijas</w:t>
            </w:r>
          </w:p>
        </w:tc>
        <w:tc>
          <w:tcPr>
            <w:tcW w:w="10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120 969</w:t>
            </w:r>
          </w:p>
        </w:tc>
        <w:tc>
          <w:tcPr>
            <w:tcW w:w="115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120 968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2.</w:t>
            </w:r>
          </w:p>
        </w:tc>
        <w:tc>
          <w:tcPr>
            <w:tcW w:w="22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Izdevumi (kopā)</w:t>
            </w:r>
          </w:p>
        </w:tc>
        <w:tc>
          <w:tcPr>
            <w:tcW w:w="10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120 969</w:t>
            </w:r>
          </w:p>
        </w:tc>
        <w:tc>
          <w:tcPr>
            <w:tcW w:w="115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120 968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2.1.</w:t>
            </w:r>
          </w:p>
        </w:tc>
        <w:tc>
          <w:tcPr>
            <w:tcW w:w="22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Uzturēšanas izdevumi (kopā)</w:t>
            </w:r>
          </w:p>
        </w:tc>
        <w:tc>
          <w:tcPr>
            <w:tcW w:w="10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120 969</w:t>
            </w:r>
          </w:p>
        </w:tc>
        <w:tc>
          <w:tcPr>
            <w:tcW w:w="115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120 968</w:t>
            </w:r>
          </w:p>
        </w:tc>
      </w:tr>
      <w:tr w:rsidR="00C0143E" w:rsidRPr="0087685E" w:rsidTr="00C659DF">
        <w:trPr>
          <w:trHeight w:val="48"/>
          <w:tblCellSpacing w:w="6" w:type="dxa"/>
          <w:jc w:val="center"/>
        </w:trPr>
        <w:tc>
          <w:tcPr>
            <w:tcW w:w="5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2.1.1.</w:t>
            </w:r>
          </w:p>
        </w:tc>
        <w:tc>
          <w:tcPr>
            <w:tcW w:w="22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pStyle w:val="NormalWeb"/>
              <w:spacing w:line="48" w:lineRule="atLeast"/>
              <w:jc w:val="center"/>
              <w:rPr>
                <w:color w:val="000000"/>
              </w:rPr>
            </w:pPr>
            <w:r w:rsidRPr="0087685E">
              <w:rPr>
                <w:color w:val="000000"/>
              </w:rPr>
              <w:t>Kārtējie izdevumi</w:t>
            </w:r>
          </w:p>
        </w:tc>
        <w:tc>
          <w:tcPr>
            <w:tcW w:w="10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120 969</w:t>
            </w:r>
          </w:p>
        </w:tc>
        <w:tc>
          <w:tcPr>
            <w:tcW w:w="115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43E" w:rsidRPr="0087685E" w:rsidRDefault="00C0143E" w:rsidP="00C659DF">
            <w:pPr>
              <w:jc w:val="center"/>
              <w:rPr>
                <w:lang w:val="lv-LV"/>
              </w:rPr>
            </w:pPr>
            <w:r w:rsidRPr="0087685E">
              <w:rPr>
                <w:lang w:val="lv-LV"/>
              </w:rPr>
              <w:t>120 968</w:t>
            </w:r>
          </w:p>
        </w:tc>
      </w:tr>
    </w:tbl>
    <w:p w:rsidR="00C0143E" w:rsidRPr="002E5B59" w:rsidRDefault="00C0143E" w:rsidP="00C0143E">
      <w:pPr>
        <w:jc w:val="center"/>
        <w:rPr>
          <w:b/>
          <w:highlight w:val="yellow"/>
          <w:lang w:val="lv-LV"/>
        </w:rPr>
      </w:pPr>
    </w:p>
    <w:p w:rsidR="00B755C3" w:rsidRDefault="00B755C3"/>
    <w:sectPr w:rsidR="00B755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475A"/>
    <w:multiLevelType w:val="multilevel"/>
    <w:tmpl w:val="63E23D68"/>
    <w:lvl w:ilvl="0">
      <w:start w:val="1"/>
      <w:numFmt w:val="decimal"/>
      <w:pStyle w:val="Virsraksti"/>
      <w:isLgl/>
      <w:suff w:val="space"/>
      <w:lvlText w:val="%1."/>
      <w:lvlJc w:val="left"/>
      <w:pPr>
        <w:ind w:left="567" w:firstLine="153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pakvirsraksti"/>
      <w:isLgl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abstractNum w:abstractNumId="1" w15:restartNumberingAfterBreak="0">
    <w:nsid w:val="7E5A0DE2"/>
    <w:multiLevelType w:val="hybridMultilevel"/>
    <w:tmpl w:val="5D8E9714"/>
    <w:lvl w:ilvl="0" w:tplc="2732F54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3E"/>
    <w:rsid w:val="00B755C3"/>
    <w:rsid w:val="00C0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ADE6"/>
  <w15:chartTrackingRefBased/>
  <w15:docId w15:val="{269E182A-9978-488B-89B5-C660A74B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143E"/>
    <w:pPr>
      <w:spacing w:before="100" w:beforeAutospacing="1" w:after="100" w:afterAutospacing="1"/>
    </w:pPr>
    <w:rPr>
      <w:lang w:val="lv-LV" w:eastAsia="lv-LV"/>
    </w:rPr>
  </w:style>
  <w:style w:type="paragraph" w:customStyle="1" w:styleId="Virsraksti">
    <w:name w:val="Virsraksti"/>
    <w:basedOn w:val="Heading1"/>
    <w:rsid w:val="00C0143E"/>
    <w:pPr>
      <w:keepLines w:val="0"/>
      <w:numPr>
        <w:numId w:val="1"/>
      </w:numPr>
      <w:spacing w:after="24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lv-LV"/>
    </w:rPr>
  </w:style>
  <w:style w:type="paragraph" w:customStyle="1" w:styleId="Apakvirsraksti">
    <w:name w:val="Apakšvirsraksti"/>
    <w:basedOn w:val="Normal"/>
    <w:rsid w:val="00C0143E"/>
    <w:pPr>
      <w:numPr>
        <w:ilvl w:val="1"/>
        <w:numId w:val="1"/>
      </w:numPr>
      <w:spacing w:before="240" w:after="240"/>
      <w:jc w:val="center"/>
    </w:pPr>
    <w:rPr>
      <w:b/>
      <w:lang w:val="lv-LV"/>
    </w:rPr>
  </w:style>
  <w:style w:type="paragraph" w:styleId="Caption">
    <w:name w:val="caption"/>
    <w:basedOn w:val="Normal"/>
    <w:next w:val="Normal"/>
    <w:qFormat/>
    <w:rsid w:val="00C014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14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014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ijaLapina\Desktop\Publiskie%20gada%20p&#257;rskati\shena_vecums_2018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AijaLapina\Desktop\Publiskie%20gada%20p&#257;rskati\shena_vecums_2018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AijaLapina\Desktop\Publiskie%20gada%20p&#257;rskati\shena_vecums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Sadalījums pa izdevumu veidiem 2020.gadā (EUR, %)</a:t>
            </a:r>
          </a:p>
        </c:rich>
      </c:tx>
      <c:layout>
        <c:manualLayout>
          <c:xMode val="edge"/>
          <c:yMode val="edge"/>
          <c:x val="8.1687445319335084E-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9E0-4183-BCE4-C32C9B8189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9E0-4183-BCE4-C32C9B8189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9E0-4183-BCE4-C32C9B8189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9E0-4183-BCE4-C32C9B8189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izdevumi!$B$70:$B$73</c:f>
              <c:strCache>
                <c:ptCount val="4"/>
                <c:pt idx="0">
                  <c:v>t.sk. atlīdzība</c:v>
                </c:pt>
                <c:pt idx="1">
                  <c:v>preces un pakalpojumi</c:v>
                </c:pt>
                <c:pt idx="2">
                  <c:v>sociālie pabalsti</c:v>
                </c:pt>
                <c:pt idx="3">
                  <c:v>izdevumi kapitālieguldījumiem</c:v>
                </c:pt>
              </c:strCache>
            </c:strRef>
          </c:cat>
          <c:val>
            <c:numRef>
              <c:f>izdevumi!$F$70:$F$73</c:f>
              <c:numCache>
                <c:formatCode>#,##0</c:formatCode>
                <c:ptCount val="4"/>
                <c:pt idx="0">
                  <c:v>7383627</c:v>
                </c:pt>
                <c:pt idx="1">
                  <c:v>2358961</c:v>
                </c:pt>
                <c:pt idx="2">
                  <c:v>337687</c:v>
                </c:pt>
                <c:pt idx="3">
                  <c:v>365669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9E0-4183-BCE4-C32C9B818957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A9E0-4183-BCE4-C32C9B8189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A9E0-4183-BCE4-C32C9B8189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A9E0-4183-BCE4-C32C9B8189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A9E0-4183-BCE4-C32C9B8189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izdevumi!$B$70:$B$73</c:f>
              <c:strCache>
                <c:ptCount val="4"/>
                <c:pt idx="0">
                  <c:v>t.sk. atlīdzība</c:v>
                </c:pt>
                <c:pt idx="1">
                  <c:v>preces un pakalpojumi</c:v>
                </c:pt>
                <c:pt idx="2">
                  <c:v>sociālie pabalsti</c:v>
                </c:pt>
                <c:pt idx="3">
                  <c:v>izdevumi kapitālieguldījumiem</c:v>
                </c:pt>
              </c:strCache>
            </c:strRef>
          </c:cat>
          <c:val>
            <c:numRef>
              <c:f>izdevumi!$G$70:$G$73</c:f>
              <c:numCache>
                <c:formatCode>0%</c:formatCode>
                <c:ptCount val="4"/>
                <c:pt idx="0">
                  <c:v>0.70684152624214724</c:v>
                </c:pt>
                <c:pt idx="1">
                  <c:v>0.22582554530255955</c:v>
                </c:pt>
                <c:pt idx="2">
                  <c:v>3.232709269741442E-2</c:v>
                </c:pt>
                <c:pt idx="3">
                  <c:v>3.5005835757878849E-2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9E0-4183-BCE4-C32C9B81895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izdevumi!$B$69</c:f>
              <c:strCache>
                <c:ptCount val="1"/>
                <c:pt idx="0">
                  <c:v>Izdevumi kopā (EUR)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izdevumi!$C$68:$F$68</c:f>
              <c:strCache>
                <c:ptCount val="4"/>
                <c:pt idx="0">
                  <c:v>2017.gads</c:v>
                </c:pt>
                <c:pt idx="1">
                  <c:v>2018.gads</c:v>
                </c:pt>
                <c:pt idx="2">
                  <c:v>2019.gads</c:v>
                </c:pt>
                <c:pt idx="3">
                  <c:v>2020.gads</c:v>
                </c:pt>
              </c:strCache>
            </c:strRef>
          </c:cat>
          <c:val>
            <c:numRef>
              <c:f>izdevumi!$C$69:$F$69</c:f>
              <c:numCache>
                <c:formatCode>#,##0</c:formatCode>
                <c:ptCount val="4"/>
                <c:pt idx="0">
                  <c:v>7636471</c:v>
                </c:pt>
                <c:pt idx="1">
                  <c:v>8355537</c:v>
                </c:pt>
                <c:pt idx="2">
                  <c:v>9489267</c:v>
                </c:pt>
                <c:pt idx="3">
                  <c:v>10445944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E8-46D2-B502-B8CA700D159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4646720"/>
        <c:axId val="434648688"/>
      </c:barChart>
      <c:catAx>
        <c:axId val="43464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434648688"/>
        <c:crosses val="autoZero"/>
        <c:auto val="1"/>
        <c:lblAlgn val="ctr"/>
        <c:lblOffset val="100"/>
        <c:noMultiLvlLbl val="0"/>
      </c:catAx>
      <c:valAx>
        <c:axId val="43464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43464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Izdevumi</a:t>
            </a:r>
            <a:r>
              <a:rPr lang="lv-LV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atlīdzība</a:t>
            </a:r>
            <a:r>
              <a:rPr lang="lv-LV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 (EUR)</a:t>
            </a:r>
            <a:endParaRPr lang="en-US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izdevumi!$B$70</c:f>
              <c:strCache>
                <c:ptCount val="1"/>
                <c:pt idx="0">
                  <c:v>t.sk. atlīdzība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izdevumi!$C$68:$F$68</c:f>
              <c:strCache>
                <c:ptCount val="4"/>
                <c:pt idx="0">
                  <c:v>2017.gads</c:v>
                </c:pt>
                <c:pt idx="1">
                  <c:v>2018.gads</c:v>
                </c:pt>
                <c:pt idx="2">
                  <c:v>2019.gads</c:v>
                </c:pt>
                <c:pt idx="3">
                  <c:v>2020.gads</c:v>
                </c:pt>
              </c:strCache>
            </c:strRef>
          </c:cat>
          <c:val>
            <c:numRef>
              <c:f>izdevumi!$C$70:$F$70</c:f>
              <c:numCache>
                <c:formatCode>#,##0</c:formatCode>
                <c:ptCount val="4"/>
                <c:pt idx="0">
                  <c:v>5196935</c:v>
                </c:pt>
                <c:pt idx="1">
                  <c:v>5865391</c:v>
                </c:pt>
                <c:pt idx="2">
                  <c:v>6791039</c:v>
                </c:pt>
                <c:pt idx="3">
                  <c:v>7383627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6E-4B34-A485-DFB04E8C7C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3762856"/>
        <c:axId val="433763512"/>
        <c:axId val="194839088"/>
      </c:bar3DChart>
      <c:catAx>
        <c:axId val="433762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433763512"/>
        <c:crosses val="autoZero"/>
        <c:auto val="1"/>
        <c:lblAlgn val="ctr"/>
        <c:lblOffset val="100"/>
        <c:noMultiLvlLbl val="0"/>
      </c:catAx>
      <c:valAx>
        <c:axId val="433763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433762856"/>
        <c:crosses val="autoZero"/>
        <c:crossBetween val="between"/>
      </c:valAx>
      <c:serAx>
        <c:axId val="194839088"/>
        <c:scaling>
          <c:orientation val="minMax"/>
        </c:scaling>
        <c:delete val="1"/>
        <c:axPos val="b"/>
        <c:majorTickMark val="none"/>
        <c:minorTickMark val="none"/>
        <c:tickLblPos val="nextTo"/>
        <c:crossAx val="43376351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2562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Lapina</dc:creator>
  <cp:keywords/>
  <dc:description/>
  <cp:lastModifiedBy>Aija Lapina</cp:lastModifiedBy>
  <cp:revision>1</cp:revision>
  <dcterms:created xsi:type="dcterms:W3CDTF">2021-03-24T07:59:00Z</dcterms:created>
  <dcterms:modified xsi:type="dcterms:W3CDTF">2021-03-24T08:05:00Z</dcterms:modified>
</cp:coreProperties>
</file>